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07" w:type="dxa"/>
        <w:jc w:val="center"/>
        <w:tblLayout w:type="fixed"/>
        <w:tblLook w:val="0000" w:firstRow="0" w:lastRow="0" w:firstColumn="0" w:lastColumn="0" w:noHBand="0" w:noVBand="0"/>
      </w:tblPr>
      <w:tblGrid>
        <w:gridCol w:w="3120"/>
        <w:gridCol w:w="6687"/>
      </w:tblGrid>
      <w:tr>
        <w:trPr>
          <w:trHeight w:val="1258"/>
          <w:jc w:val="center"/>
        </w:trPr>
        <w:tc>
          <w:tcPr>
            <w:tcW w:w="3120" w:type="dxa"/>
          </w:tcPr>
          <w:p>
            <w:pPr>
              <w:pStyle w:val="Heading1"/>
              <w:rPr>
                <w:rFonts w:ascii="Times New Roman" w:hAnsi="Times New Roman"/>
                <w:color w:val="000000"/>
                <w:sz w:val="26"/>
                <w:szCs w:val="28"/>
                <w:lang w:val="en-US"/>
              </w:rPr>
            </w:pPr>
            <w:r>
              <w:rPr>
                <w:rFonts w:ascii="Times New Roman" w:hAnsi="Times New Roman"/>
                <w:color w:val="000000"/>
                <w:sz w:val="26"/>
                <w:szCs w:val="28"/>
                <w:lang w:val="en-US"/>
              </w:rPr>
              <w:t xml:space="preserve">ỦY BAN NHÂN DÂN TỈNH HÀ TĨNH  </w:t>
            </w:r>
          </w:p>
          <w:p>
            <w:pPr>
              <w:pStyle w:val="Heading1"/>
              <w:rPr>
                <w:rFonts w:ascii="Times New Roman" w:hAnsi="Times New Roman"/>
                <w:color w:val="000000"/>
                <w:sz w:val="26"/>
                <w:szCs w:val="28"/>
                <w:lang w:val="en-US"/>
              </w:rPr>
            </w:pPr>
            <w:r>
              <w:rPr>
                <w:rFonts w:ascii="Times New Roman" w:hAnsi="Times New Roman"/>
                <w:noProof/>
                <w:color w:val="000000"/>
                <w:sz w:val="26"/>
                <w:szCs w:val="28"/>
                <w:lang w:val="en-US"/>
              </w:rPr>
              <mc:AlternateContent>
                <mc:Choice Requires="wps">
                  <w:drawing>
                    <wp:anchor distT="0" distB="0" distL="114300" distR="114300" simplePos="0" relativeHeight="251661312" behindDoc="0" locked="0" layoutInCell="1" allowOverlap="1">
                      <wp:simplePos x="0" y="0"/>
                      <wp:positionH relativeFrom="column">
                        <wp:posOffset>688975</wp:posOffset>
                      </wp:positionH>
                      <wp:positionV relativeFrom="paragraph">
                        <wp:posOffset>30480</wp:posOffset>
                      </wp:positionV>
                      <wp:extent cx="490095" cy="0"/>
                      <wp:effectExtent l="0" t="0" r="0" b="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0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133FE0F0" id="_x0000_t32" coordsize="21600,21600" o:spt="32" o:oned="t" path="m,l21600,21600e" filled="f">
                      <v:path arrowok="t" fillok="f" o:connecttype="none"/>
                      <o:lock v:ext="edit" shapetype="t"/>
                    </v:shapetype>
                    <v:shape id="AutoShape 14" o:spid="_x0000_s1026" type="#_x0000_t32" style="position:absolute;margin-left:54.25pt;margin-top:2.4pt;width:3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lkXtwEAAFUDAAAOAAAAZHJzL2Uyb0RvYy54bWysU8Fu2zAMvQ/YPwi6L3aCZViMOD2k6y7d&#10;FqDdBzCSbAuTRYFU4uTvJ6lJWmy3YT4IlEg+Pj7S67vT6MTREFv0rZzPaimMV6it71v58/nhw2cp&#10;OILX4NCbVp4Ny7vN+3frKTRmgQM6bUgkEM/NFFo5xBiaqmI1mBF4hsH45OyQRojpSn2lCaaEPrpq&#10;UdefqglJB0JlmNPr/YtTbgp+1xkVf3QdmyhcKxO3WE4q5z6f1WYNTU8QBqsuNOAfWIxgfSp6g7qH&#10;COJA9i+o0SpCxi7OFI4Vdp1VpvSQupnXf3TzNEAwpZckDoebTPz/YNX349bvKFNXJ/8UHlH9YuFx&#10;O4DvTSHwfA5pcPMsVTUFbm4p+cJhR2I/fUOdYuAQsahw6mjMkKk/cSpin29im1MUKj1+XNX1aimF&#10;uroqaK55gTh+NTiKbLSSI4Hth7hF79NEkealChwfOWZW0FwTclGPD9a5MljnxdTK1XKxLAmMzurs&#10;zGFM/X7rSBwhr0b5SovJ8zaM8OB1ARsM6C8XO4J1L3Yq7vxFmSxG3jxu9qjPO7oqlmZXWF72LC/H&#10;23vJfv0bNr8BAAD//wMAUEsDBBQABgAIAAAAIQDMxdQ32wAAAAcBAAAPAAAAZHJzL2Rvd25yZXYu&#10;eG1sTI/BTsMwEETvSPyDtUi9IGq3IhBCnKqqxIEjbSWubrwkgXgdxU4T+vVseynHpxnNvs1Xk2vF&#10;EfvQeNKwmCsQSKW3DVUa9ru3hxREiIasaT2hhl8MsCpub3KTWT/SBx63sRI8QiEzGuoYu0zKUNbo&#10;TJj7DomzL987Exn7StrejDzuWrlU6kk60xBfqE2HmxrLn+3gNGAYkoVav7hq/34a7z+Xp++x22k9&#10;u5vWryAiTvFahrM+q0PBTgc/kA2iZVZpwlUNj/zBOU+TZxCHC8sil//9iz8AAAD//wMAUEsBAi0A&#10;FAAGAAgAAAAhALaDOJL+AAAA4QEAABMAAAAAAAAAAAAAAAAAAAAAAFtDb250ZW50X1R5cGVzXS54&#10;bWxQSwECLQAUAAYACAAAACEAOP0h/9YAAACUAQAACwAAAAAAAAAAAAAAAAAvAQAAX3JlbHMvLnJl&#10;bHNQSwECLQAUAAYACAAAACEA7K5ZF7cBAABVAwAADgAAAAAAAAAAAAAAAAAuAgAAZHJzL2Uyb0Rv&#10;Yy54bWxQSwECLQAUAAYACAAAACEAzMXUN9sAAAAHAQAADwAAAAAAAAAAAAAAAAARBAAAZHJzL2Rv&#10;d25yZXYueG1sUEsFBgAAAAAEAAQA8wAAABkFAAAAAA==&#10;"/>
                  </w:pict>
                </mc:Fallback>
              </mc:AlternateContent>
            </w:r>
          </w:p>
          <w:p>
            <w:pPr>
              <w:pStyle w:val="Heading1"/>
              <w:spacing w:before="120"/>
              <w:rPr>
                <w:rFonts w:ascii="Times New Roman" w:hAnsi="Times New Roman"/>
                <w:b w:val="0"/>
                <w:sz w:val="28"/>
              </w:rPr>
            </w:pPr>
            <w:r>
              <w:rPr>
                <w:rFonts w:ascii="Times New Roman" w:hAnsi="Times New Roman"/>
                <w:b w:val="0"/>
                <w:color w:val="000000"/>
                <w:sz w:val="26"/>
                <w:szCs w:val="28"/>
                <w:lang w:val="en-US"/>
              </w:rPr>
              <w:t>Số:             /GM-UBND</w:t>
            </w:r>
          </w:p>
        </w:tc>
        <w:tc>
          <w:tcPr>
            <w:tcW w:w="6687" w:type="dxa"/>
          </w:tcPr>
          <w:p>
            <w:pPr>
              <w:jc w:val="center"/>
              <w:rPr>
                <w:b/>
                <w:sz w:val="26"/>
              </w:rPr>
            </w:pPr>
            <w:r>
              <w:rPr>
                <w:b/>
                <w:sz w:val="26"/>
              </w:rPr>
              <w:t xml:space="preserve">  CỘNG HÒA XÃ HỘI CHỦ NGHĨA VIỆT NAM</w:t>
            </w:r>
          </w:p>
          <w:p>
            <w:pPr>
              <w:jc w:val="center"/>
              <w:rPr>
                <w:b/>
                <w:i/>
                <w:sz w:val="30"/>
              </w:rPr>
            </w:pPr>
            <w:r>
              <w:rPr>
                <w:b/>
              </w:rPr>
              <w:t xml:space="preserve"> </w:t>
            </w:r>
            <w:r>
              <w:rPr>
                <w:rFonts w:hint="eastAsia"/>
                <w:b/>
              </w:rPr>
              <w:t>Đ</w:t>
            </w:r>
            <w:r>
              <w:rPr>
                <w:b/>
              </w:rPr>
              <w:t>ộc lập - Tự do - Hạnh phúc</w:t>
            </w:r>
          </w:p>
          <w:p>
            <w:pPr>
              <w:jc w:val="center"/>
              <w:rPr>
                <w:i/>
              </w:rPr>
            </w:pPr>
            <w:r>
              <w:rPr>
                <w:i/>
                <w:noProof/>
              </w:rPr>
              <mc:AlternateContent>
                <mc:Choice Requires="wps">
                  <w:drawing>
                    <wp:anchor distT="0" distB="0" distL="114300" distR="114300" simplePos="0" relativeHeight="251662336" behindDoc="0" locked="0" layoutInCell="1" allowOverlap="1">
                      <wp:simplePos x="0" y="0"/>
                      <wp:positionH relativeFrom="column">
                        <wp:posOffset>1007745</wp:posOffset>
                      </wp:positionH>
                      <wp:positionV relativeFrom="paragraph">
                        <wp:posOffset>31750</wp:posOffset>
                      </wp:positionV>
                      <wp:extent cx="21431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143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44A55D4B" id="Straight Connector 2"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9.35pt,2.5pt" to="248.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bFkmQEAAIgDAAAOAAAAZHJzL2Uyb0RvYy54bWysU8tu2zAQvAfoPxC815LcJggEyzkkaC5F&#10;G+TxAQy1tIjwhSVryX+fJW3LQVoURZELxcfM7M7uanU1WcO2gFF71/FmUXMGTvpeu03Hnx6/fb7k&#10;LCbhemG8g47vIPKr9aez1RhaWPrBmx6QkYiL7Rg6PqQU2qqKcgAr4sIHcPSoPFqR6Iibqkcxkro1&#10;1bKuL6rRYx/QS4iRbm/2j3xd9JUCmX4qFSEx03HKLZUVy/qc12q9Eu0GRRi0PKQh/iMLK7SjoLPU&#10;jUiC/UL9m5TVEn30Ki2kt5VXSksoHshNU79z8zCIAMULFSeGuUzx42Tlj+21u0MqwxhiG8MdZheT&#10;Qpu/lB+bSrF2c7FgSkzS5bL5+qVZnnMmj2/ViRgwplvwluVNx4122YdoxfZ7TBSMoEcIHU6hyy7t&#10;DGSwcfegmO4pWFPYZSrg2iDbCupn/9Lk/pFWQWaK0sbMpPrvpAM206BMyr8SZ3SJ6F2aiVY7j3+K&#10;mqZjqmqPP7ree822n32/K40o5aB2F2eH0czz9PZc6KcfaP0KAAD//wMAUEsDBBQABgAIAAAAIQDk&#10;zZuu2wAAAAcBAAAPAAAAZHJzL2Rvd25yZXYueG1sTI9BT4NAEIXvJv0Pm2nizS42tiCyNE3Vkx4Q&#10;PXjcsiOQsrOE3QL66x296PHLe3nzTbabbSdGHHzrSMH1KgKBVDnTUq3g7fXxKgHhgyajO0eo4BM9&#10;7PLFRaZT4yZ6wbEMteAR8qlW0ITQp1L6qkGr/cr1SJx9uMHqwDjU0gx64nHbyXUUbaXVLfGFRvd4&#10;aLA6lWerIH54Kot+un/+KmQsi2J0ITm9K3W5nPd3IALO4a8MP/qsDjk7Hd2ZjBcd8yaJuapgwy9x&#10;fnO7XYM4/rLMM/nfP/8GAAD//wMAUEsBAi0AFAAGAAgAAAAhALaDOJL+AAAA4QEAABMAAAAAAAAA&#10;AAAAAAAAAAAAAFtDb250ZW50X1R5cGVzXS54bWxQSwECLQAUAAYACAAAACEAOP0h/9YAAACUAQAA&#10;CwAAAAAAAAAAAAAAAAAvAQAAX3JlbHMvLnJlbHNQSwECLQAUAAYACAAAACEAXDWxZJkBAACIAwAA&#10;DgAAAAAAAAAAAAAAAAAuAgAAZHJzL2Uyb0RvYy54bWxQSwECLQAUAAYACAAAACEA5M2brtsAAAAH&#10;AQAADwAAAAAAAAAAAAAAAADzAwAAZHJzL2Rvd25yZXYueG1sUEsFBgAAAAAEAAQA8wAAAPsEAAAA&#10;AA==&#10;" strokecolor="black [3040]"/>
                  </w:pict>
                </mc:Fallback>
              </mc:AlternateContent>
            </w:r>
            <w:r>
              <w:rPr>
                <w:i/>
              </w:rPr>
              <w:t xml:space="preserve">                                                                         </w:t>
            </w:r>
          </w:p>
          <w:p>
            <w:pPr>
              <w:spacing w:before="120"/>
              <w:jc w:val="center"/>
              <w:rPr>
                <w:sz w:val="24"/>
              </w:rPr>
            </w:pPr>
            <w:r>
              <w:rPr>
                <w:i/>
              </w:rPr>
              <w:t xml:space="preserve">          Hà Tĩnh, ngày       tháng        n</w:t>
            </w:r>
            <w:r>
              <w:rPr>
                <w:rFonts w:hint="eastAsia"/>
                <w:i/>
              </w:rPr>
              <w:t>ă</w:t>
            </w:r>
            <w:r>
              <w:rPr>
                <w:i/>
              </w:rPr>
              <w:t>m 2026</w:t>
            </w:r>
          </w:p>
        </w:tc>
      </w:tr>
    </w:tbl>
    <w:p>
      <w:pPr>
        <w:jc w:val="center"/>
        <w:rPr>
          <w:b/>
          <w:sz w:val="2"/>
        </w:rPr>
      </w:pPr>
    </w:p>
    <w:p>
      <w:pPr>
        <w:tabs>
          <w:tab w:val="left" w:pos="1329"/>
        </w:tabs>
        <w:rPr>
          <w:b/>
          <w:i/>
          <w:iCs/>
        </w:rPr>
      </w:pPr>
      <w:r>
        <w:rPr>
          <w:b/>
          <w:sz w:val="10"/>
          <w:szCs w:val="2"/>
        </w:rPr>
        <w:tab/>
      </w:r>
    </w:p>
    <w:p>
      <w:pPr>
        <w:jc w:val="center"/>
        <w:rPr>
          <w:b/>
          <w:sz w:val="14"/>
          <w:szCs w:val="2"/>
        </w:rPr>
      </w:pPr>
    </w:p>
    <w:p>
      <w:pPr>
        <w:jc w:val="center"/>
        <w:rPr>
          <w:b/>
          <w:sz w:val="6"/>
          <w:szCs w:val="2"/>
        </w:rPr>
      </w:pPr>
    </w:p>
    <w:p>
      <w:pPr>
        <w:jc w:val="center"/>
        <w:rPr>
          <w:b/>
          <w:sz w:val="2"/>
        </w:rPr>
      </w:pPr>
    </w:p>
    <w:p>
      <w:pPr>
        <w:jc w:val="center"/>
        <w:rPr>
          <w:b/>
          <w:sz w:val="32"/>
        </w:rPr>
      </w:pPr>
      <w:r>
        <w:rPr>
          <w:b/>
        </w:rPr>
        <w:t>GIẤY MỜI</w:t>
      </w:r>
    </w:p>
    <w:p>
      <w:pPr>
        <w:jc w:val="center"/>
        <w:rPr>
          <w:rFonts w:ascii="Times New Roman Bold" w:hAnsi="Times New Roman Bold"/>
          <w:b/>
          <w:spacing w:val="-6"/>
        </w:rPr>
      </w:pPr>
      <w:r>
        <w:rPr>
          <w:rFonts w:ascii="Times New Roman Bold" w:hAnsi="Times New Roman Bold"/>
          <w:b/>
          <w:spacing w:val="-6"/>
        </w:rPr>
        <w:t>Tham dự Hội nghị trực tuyến toàn quốc hướng dẫn nghiệp vụ công tác</w:t>
      </w:r>
    </w:p>
    <w:p>
      <w:pPr>
        <w:jc w:val="center"/>
        <w:rPr>
          <w:rFonts w:ascii="Times New Roman Bold" w:hAnsi="Times New Roman Bold"/>
          <w:spacing w:val="-6"/>
        </w:rPr>
      </w:pPr>
      <w:r>
        <w:rPr>
          <w:rFonts w:ascii="Times New Roman Bold" w:hAnsi="Times New Roman Bold"/>
          <w:b/>
          <w:spacing w:val="-6"/>
        </w:rPr>
        <w:t xml:space="preserve"> bầu cử đại biểu Quốc hội khóa XVI và đại biểu Hội đồng nhân dân các cấp nhiệm kỳ 2026-2031</w:t>
      </w:r>
    </w:p>
    <w:p>
      <w:pPr>
        <w:spacing w:before="60"/>
        <w:ind w:firstLine="720"/>
        <w:jc w:val="both"/>
        <w:rPr>
          <w:color w:val="000000" w:themeColor="text1"/>
          <w:sz w:val="2"/>
          <w:szCs w:val="10"/>
        </w:rPr>
      </w:pPr>
      <w:r>
        <w:rPr>
          <w:noProof/>
          <w:color w:val="000000" w:themeColor="text1"/>
          <w:sz w:val="2"/>
          <w:szCs w:val="10"/>
        </w:rPr>
        <mc:AlternateContent>
          <mc:Choice Requires="wps">
            <w:drawing>
              <wp:anchor distT="0" distB="0" distL="114300" distR="114300" simplePos="0" relativeHeight="251663360" behindDoc="0" locked="0" layoutInCell="1" allowOverlap="1">
                <wp:simplePos x="0" y="0"/>
                <wp:positionH relativeFrom="column">
                  <wp:posOffset>2164715</wp:posOffset>
                </wp:positionH>
                <wp:positionV relativeFrom="paragraph">
                  <wp:posOffset>24829</wp:posOffset>
                </wp:positionV>
                <wp:extent cx="1397000" cy="0"/>
                <wp:effectExtent l="0" t="0" r="31750" b="19050"/>
                <wp:wrapNone/>
                <wp:docPr id="264254946" name="Straight Connector 5"/>
                <wp:cNvGraphicFramePr/>
                <a:graphic xmlns:a="http://schemas.openxmlformats.org/drawingml/2006/main">
                  <a:graphicData uri="http://schemas.microsoft.com/office/word/2010/wordprocessingShape">
                    <wps:wsp>
                      <wps:cNvCnPr/>
                      <wps:spPr>
                        <a:xfrm>
                          <a:off x="0" y="0"/>
                          <a:ext cx="1397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70.45pt,1.95pt" to="280.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uWXvgEAAL8DAAAOAAAAZHJzL2Uyb0RvYy54bWysU8FuEzEQvSP1HyzfyW5CGugqmx5SlQuC&#10;iJYPcL121sL2WGM3u/l7xk6yRRQhhLh4Pfa8N/OeZ9e3o7PsoDAa8C2fz2rOlJfQGb9v+bfH+7cf&#10;OItJ+E5Y8KrlRxX57ebqzXoIjVpAD7ZTyIjEx2YILe9TCk1VRdkrJ+IMgvJ0qQGdSBTivupQDMTu&#10;bLWo61U1AHYBQaoY6fTudMk3hV9rJdMXraNKzLacektlxbI+5bXarEWzRxF6I89tiH/owgnjqehE&#10;dSeSYM9oXlE5IxEi6DST4CrQ2khVNJCaef2LmodeBFW0kDkxTDbF/0crPx92yEzX8sVqubhe3ixX&#10;nHnh6KkeEgqz7xPbgvdkJCC7zn4NITYE2/odnqMYdpjFjxpd/pIsNhaPj5PHakxM0uH83c37uqan&#10;kJe76gUYMKaPChzLm5Zb47N80YjDp5ioGKVeUijIjZxKl106WpWTrf+qNEnKxQq6DJPaWmQHQWPQ&#10;fZ9nGcRVMjNEG2snUP1n0Dk3w1QZsL8FTtmlIvg0AZ3xgL+rmsZLq/qUf1F90pplP0F3LA9R7KAp&#10;KcrOE53H8Oe4wF/+u80PAAAA//8DAFBLAwQUAAYACAAAACEAMCLz09oAAAAHAQAADwAAAGRycy9k&#10;b3ducmV2LnhtbEyOO0/DQBCEeyT+w2mR6MiZVxKMzxHiUUFhDAXlxrfYVnx7lu9iG349GxqodkYz&#10;mv2yzew6NdIQWs8GzhcJKOLK25ZrA+9vT2drUCEiW+w8k4EvCrDJj48yTK2f+JXGMtZKRjikaKCJ&#10;sU+1DlVDDsPC98SSffrBYRQ71NoOOMm46/RFkiy1w5blQ4M93TdU7cq9M7B6fC6Lfnp4+S70ShfF&#10;6ON692HM6cl8dwsq0hz/ynDAF3TIhWnr92yD6gxcXiU3UhUhR/Lr5cFvf73OM/2fP/8BAAD//wMA&#10;UEsBAi0AFAAGAAgAAAAhALaDOJL+AAAA4QEAABMAAAAAAAAAAAAAAAAAAAAAAFtDb250ZW50X1R5&#10;cGVzXS54bWxQSwECLQAUAAYACAAAACEAOP0h/9YAAACUAQAACwAAAAAAAAAAAAAAAAAvAQAAX3Jl&#10;bHMvLnJlbHNQSwECLQAUAAYACAAAACEA/ELll74BAAC/AwAADgAAAAAAAAAAAAAAAAAuAgAAZHJz&#10;L2Uyb0RvYy54bWxQSwECLQAUAAYACAAAACEAMCLz09oAAAAHAQAADwAAAAAAAAAAAAAAAAAYBAAA&#10;ZHJzL2Rvd25yZXYueG1sUEsFBgAAAAAEAAQA8wAAAB8FAAAAAA==&#10;" strokecolor="black [3040]"/>
            </w:pict>
          </mc:Fallback>
        </mc:AlternateContent>
      </w:r>
    </w:p>
    <w:p>
      <w:pPr>
        <w:spacing w:before="60"/>
        <w:ind w:firstLine="720"/>
        <w:jc w:val="both"/>
        <w:rPr>
          <w:color w:val="000000" w:themeColor="text1"/>
          <w:sz w:val="4"/>
          <w:szCs w:val="10"/>
        </w:rPr>
      </w:pPr>
      <w:r>
        <w:rPr>
          <w:color w:val="000000" w:themeColor="text1"/>
          <w:sz w:val="2"/>
          <w:szCs w:val="10"/>
        </w:rPr>
        <w:t>Ơ</w:t>
      </w:r>
    </w:p>
    <w:p>
      <w:pPr>
        <w:spacing w:after="60" w:line="276" w:lineRule="auto"/>
        <w:ind w:firstLine="806"/>
        <w:contextualSpacing/>
        <w:jc w:val="both"/>
        <w:rPr>
          <w:color w:val="auto"/>
          <w:sz w:val="26"/>
          <w:szCs w:val="22"/>
        </w:rPr>
      </w:pPr>
    </w:p>
    <w:p>
      <w:pPr>
        <w:spacing w:after="60"/>
        <w:ind w:firstLine="567"/>
        <w:jc w:val="both"/>
        <w:rPr>
          <w:color w:val="auto"/>
        </w:rPr>
      </w:pPr>
      <w:bookmarkStart w:id="0" w:name="_Hlk220775783"/>
    </w:p>
    <w:p>
      <w:pPr>
        <w:spacing w:after="60"/>
        <w:ind w:firstLine="567"/>
        <w:jc w:val="both"/>
        <w:rPr>
          <w:color w:val="auto"/>
        </w:rPr>
      </w:pPr>
      <w:r>
        <w:rPr>
          <w:color w:val="auto"/>
        </w:rPr>
        <w:t>Thực hiện văn bản số 18/GM-BNV ngày 30/01/2026 của Bộ Nội vụ về tổ chức Hội nghị toàn quốc về hướng dẫn nghiệp vụ công tác bầu cử đại biểu Quốc hội khóa XVI và đại biểu Hội đồng nhân dân các cấp nhiệm kỳ 2026-2031; văn bản số 939/BNV-VP ngày 30/01/2026 của Bộ Nội vụ về việc đề nghị phối hợp đường truyền tại điểm cầu chính Bộ Nội vụ và điểm cầu 34 tỉnh, thành phố trực thuộc Trung ương và các xã, phường, đặc khu;</w:t>
      </w:r>
      <w:bookmarkEnd w:id="0"/>
      <w:r>
        <w:rPr>
          <w:color w:val="auto"/>
        </w:rPr>
        <w:t xml:space="preserve"> UBND tỉnh bố trí tại điểm cầu tỉnh như sau:</w:t>
      </w:r>
    </w:p>
    <w:p>
      <w:pPr>
        <w:spacing w:after="60"/>
        <w:ind w:firstLine="720"/>
        <w:jc w:val="both"/>
        <w:rPr>
          <w:color w:val="auto"/>
        </w:rPr>
      </w:pPr>
      <w:bookmarkStart w:id="1" w:name="_Hlk220775866"/>
      <w:r>
        <w:rPr>
          <w:b/>
          <w:color w:val="auto"/>
        </w:rPr>
        <w:t>1. Thời gian:</w:t>
      </w:r>
      <w:r>
        <w:rPr>
          <w:color w:val="auto"/>
        </w:rPr>
        <w:t xml:space="preserve"> Từ 07h30’-11h45’, </w:t>
      </w:r>
      <w:r>
        <w:rPr>
          <w:b/>
          <w:color w:val="auto"/>
        </w:rPr>
        <w:t>ngày 04/02/2026</w:t>
      </w:r>
      <w:r>
        <w:rPr>
          <w:color w:val="auto"/>
        </w:rPr>
        <w:t xml:space="preserve"> (thứ Tư).</w:t>
      </w:r>
    </w:p>
    <w:p>
      <w:pPr>
        <w:spacing w:after="60"/>
        <w:ind w:firstLine="720"/>
        <w:jc w:val="center"/>
        <w:rPr>
          <w:bCs/>
          <w:i/>
          <w:iCs/>
          <w:color w:val="auto"/>
        </w:rPr>
      </w:pPr>
      <w:r>
        <w:rPr>
          <w:bCs/>
          <w:i/>
          <w:iCs/>
          <w:color w:val="auto"/>
        </w:rPr>
        <w:t>(Đề nghị đại biểu có mặt trước 15 phút để ổn định tổ chức).</w:t>
      </w:r>
    </w:p>
    <w:p>
      <w:pPr>
        <w:spacing w:after="60"/>
        <w:ind w:firstLine="720"/>
        <w:rPr>
          <w:b/>
          <w:bCs/>
        </w:rPr>
      </w:pPr>
      <w:r>
        <w:rPr>
          <w:b/>
          <w:bCs/>
          <w:color w:val="auto"/>
        </w:rPr>
        <w:t>2. Địa điểm, thành phần:</w:t>
      </w:r>
    </w:p>
    <w:p>
      <w:pPr>
        <w:spacing w:after="60"/>
        <w:ind w:hanging="142"/>
        <w:rPr>
          <w:b/>
          <w:bCs/>
        </w:rPr>
      </w:pPr>
      <w:r>
        <w:rPr>
          <w:b/>
          <w:bCs/>
        </w:rPr>
        <w:tab/>
      </w:r>
      <w:r>
        <w:rPr>
          <w:b/>
          <w:bCs/>
        </w:rPr>
        <w:tab/>
        <w:t>2.1. Tại điểm cầu tỉnh (</w:t>
      </w:r>
      <w:r>
        <w:t>Hội trường tầng 4, Trụ sở UBND tỉnh):</w:t>
      </w:r>
    </w:p>
    <w:p>
      <w:pPr>
        <w:spacing w:after="60"/>
        <w:rPr>
          <w:b/>
          <w:bCs/>
          <w:i/>
          <w:iCs/>
        </w:rPr>
      </w:pPr>
      <w:r>
        <w:tab/>
      </w:r>
      <w:r>
        <w:rPr>
          <w:b/>
          <w:bCs/>
          <w:i/>
          <w:iCs/>
        </w:rPr>
        <w:t>* Thành phần tham dự, trân trọng kính mời:</w:t>
      </w:r>
    </w:p>
    <w:p>
      <w:pPr>
        <w:spacing w:after="60"/>
        <w:ind w:hanging="426"/>
        <w:jc w:val="both"/>
        <w:rPr>
          <w:color w:val="auto"/>
        </w:rPr>
      </w:pPr>
      <w:r>
        <w:rPr>
          <w:color w:val="auto"/>
        </w:rPr>
        <w:tab/>
        <w:t xml:space="preserve">    </w:t>
      </w:r>
      <w:r>
        <w:rPr>
          <w:color w:val="auto"/>
        </w:rPr>
        <w:tab/>
        <w:t>- Đại diện: Thường trực Tỉnh ủy, Thường trực HĐND tỉnh (mời chủ trì);</w:t>
      </w:r>
    </w:p>
    <w:p>
      <w:pPr>
        <w:spacing w:after="60"/>
        <w:ind w:hanging="426"/>
        <w:jc w:val="both"/>
        <w:rPr>
          <w:color w:val="auto"/>
        </w:rPr>
      </w:pPr>
      <w:r>
        <w:rPr>
          <w:color w:val="auto"/>
        </w:rPr>
        <w:t xml:space="preserve">        </w:t>
      </w:r>
      <w:r>
        <w:rPr>
          <w:color w:val="auto"/>
        </w:rPr>
        <w:tab/>
        <w:t>- Đại diện Ban Chỉ đạo bầu cử tỉnh;</w:t>
      </w:r>
    </w:p>
    <w:p>
      <w:pPr>
        <w:spacing w:after="60"/>
        <w:ind w:hanging="426"/>
        <w:jc w:val="both"/>
        <w:rPr>
          <w:color w:val="auto"/>
        </w:rPr>
      </w:pPr>
      <w:r>
        <w:rPr>
          <w:color w:val="auto"/>
        </w:rPr>
        <w:t xml:space="preserve">          </w:t>
      </w:r>
      <w:r>
        <w:rPr>
          <w:color w:val="auto"/>
        </w:rPr>
        <w:tab/>
        <w:t>- Đại diện lãnh đạo: UBND tỉnh, Ủy ban Mặt trận Tổ quốc Việt Nam tỉnh;</w:t>
      </w:r>
    </w:p>
    <w:p>
      <w:pPr>
        <w:spacing w:after="60"/>
        <w:ind w:hanging="426"/>
        <w:jc w:val="both"/>
        <w:rPr>
          <w:color w:val="auto"/>
        </w:rPr>
      </w:pPr>
      <w:r>
        <w:rPr>
          <w:color w:val="auto"/>
        </w:rPr>
        <w:t xml:space="preserve">          </w:t>
      </w:r>
      <w:r>
        <w:rPr>
          <w:color w:val="auto"/>
        </w:rPr>
        <w:tab/>
        <w:t>- Thành viên Ủy ban bầu cử tỉnh;</w:t>
      </w:r>
    </w:p>
    <w:p>
      <w:pPr>
        <w:spacing w:after="60"/>
        <w:ind w:hanging="426"/>
        <w:jc w:val="both"/>
        <w:rPr>
          <w:color w:val="auto"/>
        </w:rPr>
      </w:pPr>
      <w:r>
        <w:rPr>
          <w:color w:val="auto"/>
        </w:rPr>
        <w:tab/>
        <w:t xml:space="preserve">    </w:t>
      </w:r>
      <w:r>
        <w:rPr>
          <w:color w:val="auto"/>
        </w:rPr>
        <w:tab/>
        <w:t>- Tổ giúp việc Ủy ban bầu cử tỉnh;</w:t>
      </w:r>
    </w:p>
    <w:p>
      <w:pPr>
        <w:spacing w:after="60"/>
        <w:ind w:hanging="426"/>
        <w:jc w:val="both"/>
        <w:rPr>
          <w:color w:val="auto"/>
        </w:rPr>
      </w:pPr>
      <w:r>
        <w:rPr>
          <w:color w:val="auto"/>
        </w:rPr>
        <w:t xml:space="preserve">  </w:t>
      </w:r>
      <w:r>
        <w:rPr>
          <w:color w:val="auto"/>
        </w:rPr>
        <w:tab/>
        <w:t xml:space="preserve">    </w:t>
      </w:r>
      <w:r>
        <w:rPr>
          <w:color w:val="auto"/>
        </w:rPr>
        <w:tab/>
        <w:t>- Báo và Phát thanh truyền hình Hà Tĩnh cử phóng viên dự và đưa tin.</w:t>
      </w:r>
    </w:p>
    <w:p>
      <w:pPr>
        <w:spacing w:after="60"/>
        <w:ind w:left="426" w:hanging="426"/>
        <w:jc w:val="both"/>
        <w:rPr>
          <w:b/>
          <w:bCs/>
        </w:rPr>
      </w:pPr>
      <w:r>
        <w:rPr>
          <w:b/>
          <w:bCs/>
        </w:rPr>
        <w:tab/>
      </w:r>
      <w:r>
        <w:rPr>
          <w:b/>
          <w:bCs/>
        </w:rPr>
        <w:tab/>
        <w:t>2.2. Tại điểm cầu Sở Nội vụ:</w:t>
      </w:r>
    </w:p>
    <w:p>
      <w:pPr>
        <w:spacing w:after="60"/>
        <w:ind w:firstLine="720"/>
        <w:jc w:val="both"/>
      </w:pPr>
      <w:r>
        <w:t>- Đại diện Lãnh đạo Sở Nội vụ (mời chủ trì);</w:t>
      </w:r>
    </w:p>
    <w:p>
      <w:pPr>
        <w:spacing w:after="60"/>
        <w:ind w:firstLine="720"/>
        <w:jc w:val="both"/>
        <w:rPr>
          <w:color w:val="auto"/>
        </w:rPr>
      </w:pPr>
      <w:r>
        <w:t xml:space="preserve">- Tổ giúp việc Sở Nội vụ phụ trách địa bàn trong công tác bầu cử đại biểu Quốc hội khóa XVI và bầu cử đại biểu HĐND các cấp nhiệm kỳ 2026-2031 </w:t>
      </w:r>
      <w:r>
        <w:rPr>
          <w:color w:val="auto"/>
        </w:rPr>
        <w:t>(giao Sở Nội vụ tin mời).</w:t>
      </w:r>
    </w:p>
    <w:p>
      <w:pPr>
        <w:spacing w:after="60"/>
        <w:ind w:left="426" w:firstLine="294"/>
        <w:jc w:val="both"/>
        <w:rPr>
          <w:color w:val="auto"/>
        </w:rPr>
      </w:pPr>
      <w:r>
        <w:rPr>
          <w:b/>
          <w:bCs/>
        </w:rPr>
        <w:t>2.3. Tại điểm cầu xã, phường:</w:t>
      </w:r>
    </w:p>
    <w:p>
      <w:pPr>
        <w:spacing w:after="60"/>
        <w:ind w:left="426" w:hanging="426"/>
        <w:jc w:val="both"/>
        <w:rPr>
          <w:b/>
          <w:bCs/>
          <w:i/>
          <w:iCs/>
          <w:color w:val="auto"/>
        </w:rPr>
      </w:pPr>
      <w:r>
        <w:tab/>
      </w:r>
      <w:r>
        <w:tab/>
      </w:r>
      <w:r>
        <w:rPr>
          <w:b/>
          <w:bCs/>
          <w:i/>
          <w:iCs/>
        </w:rPr>
        <w:t>* Thành phần tham dự:</w:t>
      </w:r>
    </w:p>
    <w:p>
      <w:pPr>
        <w:tabs>
          <w:tab w:val="left" w:pos="142"/>
        </w:tabs>
        <w:spacing w:after="60"/>
        <w:ind w:left="142" w:hanging="142"/>
        <w:jc w:val="both"/>
        <w:rPr>
          <w:color w:val="auto"/>
        </w:rPr>
      </w:pPr>
      <w:r>
        <w:rPr>
          <w:color w:val="auto"/>
        </w:rPr>
        <w:tab/>
      </w:r>
      <w:r>
        <w:rPr>
          <w:color w:val="auto"/>
        </w:rPr>
        <w:tab/>
        <w:t>- Đồng chí Bí thư Đảng ủy xã, phường (mời chủ trì);</w:t>
      </w:r>
    </w:p>
    <w:p>
      <w:pPr>
        <w:tabs>
          <w:tab w:val="left" w:pos="142"/>
        </w:tabs>
        <w:spacing w:after="60"/>
        <w:ind w:left="142" w:hanging="142"/>
        <w:jc w:val="both"/>
        <w:rPr>
          <w:color w:val="auto"/>
        </w:rPr>
      </w:pPr>
      <w:r>
        <w:rPr>
          <w:color w:val="auto"/>
        </w:rPr>
        <w:tab/>
      </w:r>
      <w:r>
        <w:rPr>
          <w:color w:val="auto"/>
        </w:rPr>
        <w:tab/>
        <w:t>- Đại diện lãnh đạo: Đảng ủy, HĐND, UBND, UBMT Tổ quốc Việt Nam cấp xã;</w:t>
      </w:r>
    </w:p>
    <w:p>
      <w:pPr>
        <w:tabs>
          <w:tab w:val="left" w:pos="142"/>
        </w:tabs>
        <w:spacing w:after="60"/>
        <w:ind w:left="426" w:hanging="426"/>
        <w:jc w:val="both"/>
        <w:rPr>
          <w:color w:val="auto"/>
        </w:rPr>
      </w:pPr>
      <w:r>
        <w:rPr>
          <w:color w:val="auto"/>
        </w:rPr>
        <w:lastRenderedPageBreak/>
        <w:tab/>
      </w:r>
      <w:r>
        <w:rPr>
          <w:color w:val="auto"/>
        </w:rPr>
        <w:tab/>
      </w:r>
      <w:r>
        <w:rPr>
          <w:color w:val="auto"/>
        </w:rPr>
        <w:tab/>
        <w:t>- Thành viên Ban Chỉ đạo, Ủy ban bầu cử, các Ban bầu cử, các Tổ bầu cử;</w:t>
      </w:r>
    </w:p>
    <w:p>
      <w:pPr>
        <w:spacing w:after="60"/>
        <w:jc w:val="both"/>
        <w:rPr>
          <w:color w:val="auto"/>
        </w:rPr>
      </w:pPr>
      <w:r>
        <w:rPr>
          <w:color w:val="auto"/>
        </w:rPr>
        <w:tab/>
        <w:t xml:space="preserve">- Cán bộ, công chức trực tiếp tham mưu, giúp việc về công tác bầu cử (do các </w:t>
      </w:r>
      <w:bookmarkStart w:id="2" w:name="_GoBack"/>
      <w:bookmarkEnd w:id="2"/>
      <w:r>
        <w:rPr>
          <w:color w:val="auto"/>
        </w:rPr>
        <w:t xml:space="preserve">xã, </w:t>
      </w:r>
      <w:r>
        <w:rPr>
          <w:color w:val="auto"/>
        </w:rPr>
        <w:t>phường</w:t>
      </w:r>
      <w:r>
        <w:rPr>
          <w:color w:val="auto"/>
        </w:rPr>
        <w:t xml:space="preserve"> tin mời).</w:t>
      </w:r>
    </w:p>
    <w:p>
      <w:pPr>
        <w:spacing w:after="60"/>
        <w:jc w:val="both"/>
      </w:pPr>
      <w:r>
        <w:rPr>
          <w:b/>
          <w:color w:val="auto"/>
        </w:rPr>
        <w:tab/>
        <w:t>3. Nội dung:</w:t>
      </w:r>
      <w:r>
        <w:t xml:space="preserve"> Hướng dẫn, trao đổi, làm rõ các nội dung nghiệp vụ trọng tâm trong công tác tổ chức bầu cử đại biểu Quốc hội khóa XVI và đại biểu HĐND các cấp nhiệm kỳ 2026-2031, tập trung chủ yếu vào nghiệp vụ của các Tổ bầu cử trước, trong và sau ngày bầu cử theo quy định của Luật Bầu cử và các văn bản hướng dẫn có liên quan. </w:t>
      </w:r>
    </w:p>
    <w:p>
      <w:pPr>
        <w:spacing w:after="60"/>
        <w:ind w:firstLine="805"/>
        <w:jc w:val="both"/>
        <w:rPr>
          <w:b/>
          <w:color w:val="auto"/>
        </w:rPr>
      </w:pPr>
      <w:r>
        <w:rPr>
          <w:b/>
          <w:color w:val="auto"/>
        </w:rPr>
        <w:t>4. Phân công nhiệm vụ:</w:t>
      </w:r>
    </w:p>
    <w:p>
      <w:pPr>
        <w:spacing w:after="60"/>
        <w:ind w:firstLine="805"/>
        <w:jc w:val="both"/>
        <w:rPr>
          <w:color w:val="auto"/>
        </w:rPr>
      </w:pPr>
      <w:r>
        <w:rPr>
          <w:b/>
          <w:color w:val="auto"/>
        </w:rPr>
        <w:t xml:space="preserve">- UBND các xã, phường: </w:t>
      </w:r>
      <w:r>
        <w:rPr>
          <w:color w:val="auto"/>
        </w:rPr>
        <w:t>tổ chức các điểm cầu tại xã, phường và mời đại biểu tham dự hội nghị đúng thành phần, thời gian quy định.</w:t>
      </w:r>
    </w:p>
    <w:p>
      <w:pPr>
        <w:spacing w:after="60"/>
        <w:ind w:firstLine="805"/>
        <w:jc w:val="both"/>
        <w:rPr>
          <w:color w:val="auto"/>
        </w:rPr>
      </w:pPr>
      <w:r>
        <w:rPr>
          <w:b/>
          <w:color w:val="auto"/>
        </w:rPr>
        <w:t>- Sở Nội vụ:</w:t>
      </w:r>
      <w:r>
        <w:rPr>
          <w:color w:val="auto"/>
        </w:rPr>
        <w:t xml:space="preserve"> khâu nối, đăng ký đại biểu tham dự Hội nghị; liên hệ Bộ Nội vụ để nhận tài liệu (nếu có); chuẩn bị các nội dung còn khó khăn, vướng mắc (nếu có) trong quá trình triển khai công tác bầu cử để trao đổi tại Hội nghị.</w:t>
      </w:r>
    </w:p>
    <w:p>
      <w:pPr>
        <w:spacing w:after="60"/>
        <w:ind w:firstLine="805"/>
        <w:jc w:val="both"/>
        <w:rPr>
          <w:color w:val="auto"/>
        </w:rPr>
      </w:pPr>
      <w:r>
        <w:rPr>
          <w:b/>
          <w:color w:val="auto"/>
        </w:rPr>
        <w:t>- Văn phòng UBND tỉnh (Trung tâm Công báo - Tin học):</w:t>
      </w:r>
      <w:r>
        <w:rPr>
          <w:color w:val="auto"/>
        </w:rPr>
        <w:t xml:space="preserve"> liên hệ, kiểm tra kết nối, đường truyền đến điểm cầu tỉnh và chuyển tín hiệu đến phòng họp trực tuyến của UBND các xã, phường. Thời gian chạy thử hệ thống: </w:t>
      </w:r>
      <w:r>
        <w:rPr>
          <w:b/>
          <w:color w:val="auto"/>
        </w:rPr>
        <w:t>15h00, thứ Ba, ngày 03/02/2026;</w:t>
      </w:r>
      <w:r>
        <w:rPr>
          <w:color w:val="auto"/>
        </w:rPr>
        <w:t xml:space="preserve"> chuẩn bị các điều kiện phục vụ hội nghị.</w:t>
      </w:r>
    </w:p>
    <w:p>
      <w:pPr>
        <w:spacing w:after="60"/>
        <w:ind w:firstLine="805"/>
        <w:jc w:val="both"/>
        <w:rPr>
          <w:color w:val="auto"/>
        </w:rPr>
      </w:pPr>
      <w:r>
        <w:rPr>
          <w:b/>
          <w:color w:val="auto"/>
        </w:rPr>
        <w:t>- Công ty Điện lực Hà Tĩnh</w:t>
      </w:r>
      <w:r>
        <w:rPr>
          <w:color w:val="auto"/>
        </w:rPr>
        <w:t>: chỉ đạo đảm bảo ổn định nguồn điện trong thời gian diễn ra Hội nghị.</w:t>
      </w:r>
    </w:p>
    <w:bookmarkEnd w:id="1"/>
    <w:p>
      <w:pPr>
        <w:spacing w:after="60"/>
        <w:ind w:firstLine="805"/>
        <w:jc w:val="both"/>
        <w:rPr>
          <w:color w:val="auto"/>
        </w:rPr>
      </w:pPr>
      <w:r>
        <w:rPr>
          <w:color w:val="auto"/>
        </w:rPr>
        <w:t>Đây là Hội nghị quan trọng, kính đề nghị đại biểu dự họp đúng thành phần và thời gian./.</w:t>
      </w:r>
    </w:p>
    <w:p>
      <w:pPr>
        <w:spacing w:after="60"/>
        <w:ind w:firstLine="720"/>
        <w:contextualSpacing/>
        <w:jc w:val="both"/>
        <w:rPr>
          <w:color w:val="auto"/>
          <w:sz w:val="22"/>
        </w:rPr>
      </w:pPr>
    </w:p>
    <w:tbl>
      <w:tblPr>
        <w:tblW w:w="0" w:type="auto"/>
        <w:tblLayout w:type="fixed"/>
        <w:tblCellMar>
          <w:left w:w="0" w:type="dxa"/>
          <w:right w:w="0" w:type="dxa"/>
        </w:tblCellMar>
        <w:tblLook w:val="01E0" w:firstRow="1" w:lastRow="1" w:firstColumn="1" w:lastColumn="1" w:noHBand="0" w:noVBand="0"/>
      </w:tblPr>
      <w:tblGrid>
        <w:gridCol w:w="4353"/>
        <w:gridCol w:w="4545"/>
      </w:tblGrid>
      <w:tr>
        <w:trPr>
          <w:trHeight w:val="2898"/>
        </w:trPr>
        <w:tc>
          <w:tcPr>
            <w:tcW w:w="4353" w:type="dxa"/>
          </w:tcPr>
          <w:p>
            <w:pPr>
              <w:widowControl w:val="0"/>
              <w:autoSpaceDE w:val="0"/>
              <w:autoSpaceDN w:val="0"/>
              <w:spacing w:line="264" w:lineRule="exact"/>
              <w:ind w:left="200"/>
              <w:rPr>
                <w:b/>
                <w:i/>
                <w:color w:val="auto"/>
                <w:sz w:val="24"/>
                <w:szCs w:val="22"/>
              </w:rPr>
            </w:pPr>
            <w:r>
              <w:rPr>
                <w:b/>
                <w:i/>
                <w:color w:val="auto"/>
                <w:sz w:val="24"/>
                <w:szCs w:val="22"/>
              </w:rPr>
              <w:t>Nơi nhận:</w:t>
            </w:r>
          </w:p>
          <w:p>
            <w:pPr>
              <w:widowControl w:val="0"/>
              <w:numPr>
                <w:ilvl w:val="0"/>
                <w:numId w:val="5"/>
              </w:numPr>
              <w:tabs>
                <w:tab w:val="left" w:pos="328"/>
              </w:tabs>
              <w:autoSpaceDE w:val="0"/>
              <w:autoSpaceDN w:val="0"/>
              <w:spacing w:line="251" w:lineRule="exact"/>
              <w:rPr>
                <w:color w:val="auto"/>
                <w:sz w:val="22"/>
                <w:szCs w:val="22"/>
              </w:rPr>
            </w:pPr>
            <w:r>
              <w:rPr>
                <w:color w:val="auto"/>
                <w:sz w:val="22"/>
                <w:szCs w:val="22"/>
              </w:rPr>
              <w:t>Như thành phần mời;</w:t>
            </w:r>
          </w:p>
          <w:p>
            <w:pPr>
              <w:widowControl w:val="0"/>
              <w:numPr>
                <w:ilvl w:val="0"/>
                <w:numId w:val="5"/>
              </w:numPr>
              <w:tabs>
                <w:tab w:val="left" w:pos="328"/>
              </w:tabs>
              <w:autoSpaceDE w:val="0"/>
              <w:autoSpaceDN w:val="0"/>
              <w:spacing w:line="251" w:lineRule="exact"/>
              <w:rPr>
                <w:color w:val="auto"/>
                <w:sz w:val="22"/>
                <w:szCs w:val="22"/>
              </w:rPr>
            </w:pPr>
            <w:r>
              <w:rPr>
                <w:color w:val="auto"/>
                <w:sz w:val="22"/>
                <w:szCs w:val="22"/>
              </w:rPr>
              <w:t>Bộ Nội vụ (báo cáo);</w:t>
            </w:r>
          </w:p>
          <w:p>
            <w:pPr>
              <w:widowControl w:val="0"/>
              <w:numPr>
                <w:ilvl w:val="0"/>
                <w:numId w:val="5"/>
              </w:numPr>
              <w:tabs>
                <w:tab w:val="left" w:pos="328"/>
              </w:tabs>
              <w:autoSpaceDE w:val="0"/>
              <w:autoSpaceDN w:val="0"/>
              <w:spacing w:line="252" w:lineRule="exact"/>
              <w:rPr>
                <w:color w:val="auto"/>
                <w:sz w:val="22"/>
                <w:szCs w:val="22"/>
              </w:rPr>
            </w:pPr>
            <w:r>
              <w:rPr>
                <w:color w:val="auto"/>
                <w:sz w:val="22"/>
                <w:szCs w:val="22"/>
              </w:rPr>
              <w:t>Chủ tịch, các PCT UBND tỉnh;</w:t>
            </w:r>
          </w:p>
          <w:p>
            <w:pPr>
              <w:widowControl w:val="0"/>
              <w:numPr>
                <w:ilvl w:val="0"/>
                <w:numId w:val="5"/>
              </w:numPr>
              <w:tabs>
                <w:tab w:val="left" w:pos="325"/>
              </w:tabs>
              <w:autoSpaceDE w:val="0"/>
              <w:autoSpaceDN w:val="0"/>
              <w:spacing w:line="252" w:lineRule="exact"/>
              <w:ind w:left="324" w:hanging="125"/>
              <w:rPr>
                <w:color w:val="auto"/>
                <w:sz w:val="22"/>
                <w:szCs w:val="22"/>
              </w:rPr>
            </w:pPr>
            <w:r>
              <w:rPr>
                <w:color w:val="auto"/>
                <w:sz w:val="22"/>
                <w:szCs w:val="22"/>
              </w:rPr>
              <w:t>Phòng QT-TV (để bố trí);</w:t>
            </w:r>
          </w:p>
          <w:p>
            <w:pPr>
              <w:widowControl w:val="0"/>
              <w:numPr>
                <w:ilvl w:val="0"/>
                <w:numId w:val="5"/>
              </w:numPr>
              <w:tabs>
                <w:tab w:val="left" w:pos="325"/>
              </w:tabs>
              <w:autoSpaceDE w:val="0"/>
              <w:autoSpaceDN w:val="0"/>
              <w:spacing w:line="252" w:lineRule="exact"/>
              <w:ind w:left="324" w:hanging="125"/>
              <w:rPr>
                <w:color w:val="auto"/>
                <w:sz w:val="22"/>
                <w:szCs w:val="22"/>
              </w:rPr>
            </w:pPr>
            <w:r>
              <w:rPr>
                <w:color w:val="auto"/>
                <w:sz w:val="22"/>
                <w:szCs w:val="22"/>
              </w:rPr>
              <w:t>Trung tâm CB-TH tỉnh;</w:t>
            </w:r>
          </w:p>
          <w:p>
            <w:pPr>
              <w:widowControl w:val="0"/>
              <w:numPr>
                <w:ilvl w:val="0"/>
                <w:numId w:val="5"/>
              </w:numPr>
              <w:tabs>
                <w:tab w:val="left" w:pos="325"/>
              </w:tabs>
              <w:autoSpaceDE w:val="0"/>
              <w:autoSpaceDN w:val="0"/>
              <w:spacing w:before="1"/>
              <w:ind w:left="324" w:hanging="125"/>
              <w:rPr>
                <w:sz w:val="22"/>
                <w:szCs w:val="22"/>
              </w:rPr>
            </w:pPr>
            <w:r>
              <w:rPr>
                <w:color w:val="auto"/>
                <w:sz w:val="22"/>
                <w:szCs w:val="22"/>
              </w:rPr>
              <w:t>Lưu: VT, NC</w:t>
            </w:r>
            <w:r>
              <w:rPr>
                <w:color w:val="auto"/>
                <w:sz w:val="22"/>
                <w:szCs w:val="22"/>
                <w:vertAlign w:val="subscript"/>
              </w:rPr>
              <w:t>2</w:t>
            </w:r>
            <w:r>
              <w:rPr>
                <w:color w:val="auto"/>
                <w:sz w:val="22"/>
                <w:szCs w:val="22"/>
              </w:rPr>
              <w:t>.</w:t>
            </w:r>
          </w:p>
          <w:p>
            <w:pPr>
              <w:rPr>
                <w:sz w:val="22"/>
                <w:szCs w:val="22"/>
              </w:rPr>
            </w:pPr>
          </w:p>
          <w:p>
            <w:pPr>
              <w:rPr>
                <w:sz w:val="22"/>
                <w:szCs w:val="22"/>
              </w:rPr>
            </w:pPr>
          </w:p>
          <w:p>
            <w:pPr>
              <w:rPr>
                <w:sz w:val="22"/>
                <w:szCs w:val="22"/>
              </w:rPr>
            </w:pPr>
          </w:p>
          <w:p>
            <w:pPr>
              <w:rPr>
                <w:sz w:val="22"/>
                <w:szCs w:val="22"/>
              </w:rPr>
            </w:pPr>
          </w:p>
          <w:p>
            <w:pPr>
              <w:tabs>
                <w:tab w:val="left" w:pos="1160"/>
              </w:tabs>
              <w:rPr>
                <w:sz w:val="22"/>
                <w:szCs w:val="22"/>
              </w:rPr>
            </w:pPr>
            <w:r>
              <w:rPr>
                <w:sz w:val="22"/>
                <w:szCs w:val="22"/>
              </w:rPr>
              <w:tab/>
            </w:r>
          </w:p>
        </w:tc>
        <w:tc>
          <w:tcPr>
            <w:tcW w:w="4545" w:type="dxa"/>
          </w:tcPr>
          <w:p>
            <w:pPr>
              <w:widowControl w:val="0"/>
              <w:autoSpaceDE w:val="0"/>
              <w:autoSpaceDN w:val="0"/>
              <w:ind w:left="-17" w:right="197"/>
              <w:jc w:val="center"/>
              <w:rPr>
                <w:b/>
                <w:color w:val="auto"/>
                <w:sz w:val="26"/>
                <w:szCs w:val="22"/>
              </w:rPr>
            </w:pPr>
            <w:r>
              <w:rPr>
                <w:b/>
                <w:color w:val="auto"/>
                <w:sz w:val="26"/>
                <w:szCs w:val="22"/>
              </w:rPr>
              <w:t>TL. CHỦ TỊCH</w:t>
            </w:r>
          </w:p>
          <w:p>
            <w:pPr>
              <w:widowControl w:val="0"/>
              <w:autoSpaceDE w:val="0"/>
              <w:autoSpaceDN w:val="0"/>
              <w:ind w:left="-17" w:right="197"/>
              <w:jc w:val="center"/>
              <w:rPr>
                <w:b/>
                <w:color w:val="auto"/>
                <w:sz w:val="26"/>
                <w:szCs w:val="22"/>
              </w:rPr>
            </w:pPr>
            <w:r>
              <w:rPr>
                <w:b/>
                <w:color w:val="auto"/>
                <w:sz w:val="26"/>
                <w:szCs w:val="22"/>
              </w:rPr>
              <w:t>KT. CHÁNH VĂN PHÒNG</w:t>
            </w:r>
          </w:p>
          <w:p>
            <w:pPr>
              <w:widowControl w:val="0"/>
              <w:autoSpaceDE w:val="0"/>
              <w:autoSpaceDN w:val="0"/>
              <w:ind w:left="-17" w:right="197"/>
              <w:jc w:val="center"/>
              <w:rPr>
                <w:b/>
                <w:color w:val="auto"/>
                <w:sz w:val="26"/>
                <w:szCs w:val="22"/>
              </w:rPr>
            </w:pPr>
            <w:r>
              <w:rPr>
                <w:b/>
                <w:color w:val="auto"/>
                <w:sz w:val="26"/>
                <w:szCs w:val="22"/>
              </w:rPr>
              <w:t>PHÓ CHÁNH VĂN PHÒNG</w:t>
            </w:r>
          </w:p>
          <w:p>
            <w:pPr>
              <w:widowControl w:val="0"/>
              <w:autoSpaceDE w:val="0"/>
              <w:autoSpaceDN w:val="0"/>
              <w:ind w:left="-17"/>
              <w:jc w:val="center"/>
              <w:rPr>
                <w:color w:val="auto"/>
                <w:sz w:val="2"/>
                <w:szCs w:val="22"/>
              </w:rPr>
            </w:pPr>
          </w:p>
          <w:p>
            <w:pPr>
              <w:widowControl w:val="0"/>
              <w:autoSpaceDE w:val="0"/>
              <w:autoSpaceDN w:val="0"/>
              <w:ind w:left="-17"/>
              <w:jc w:val="center"/>
              <w:rPr>
                <w:noProof/>
              </w:rPr>
            </w:pPr>
            <w:r>
              <w:rPr>
                <w:noProof/>
              </w:rPr>
              <w:t xml:space="preserve">               </w:t>
            </w:r>
          </w:p>
          <w:p>
            <w:pPr>
              <w:widowControl w:val="0"/>
              <w:autoSpaceDE w:val="0"/>
              <w:autoSpaceDN w:val="0"/>
              <w:ind w:left="-17"/>
              <w:jc w:val="center"/>
              <w:rPr>
                <w:noProof/>
                <w:sz w:val="18"/>
              </w:rPr>
            </w:pPr>
          </w:p>
          <w:p>
            <w:pPr>
              <w:widowControl w:val="0"/>
              <w:autoSpaceDE w:val="0"/>
              <w:autoSpaceDN w:val="0"/>
              <w:ind w:left="-17"/>
              <w:jc w:val="center"/>
              <w:rPr>
                <w:noProof/>
              </w:rPr>
            </w:pPr>
          </w:p>
          <w:p>
            <w:pPr>
              <w:widowControl w:val="0"/>
              <w:autoSpaceDE w:val="0"/>
              <w:autoSpaceDN w:val="0"/>
              <w:ind w:left="-17"/>
              <w:jc w:val="center"/>
              <w:rPr>
                <w:noProof/>
              </w:rPr>
            </w:pPr>
          </w:p>
          <w:p>
            <w:pPr>
              <w:widowControl w:val="0"/>
              <w:autoSpaceDE w:val="0"/>
              <w:autoSpaceDN w:val="0"/>
              <w:ind w:left="-17"/>
              <w:jc w:val="center"/>
              <w:rPr>
                <w:noProof/>
              </w:rPr>
            </w:pPr>
          </w:p>
          <w:p>
            <w:pPr>
              <w:widowControl w:val="0"/>
              <w:autoSpaceDE w:val="0"/>
              <w:autoSpaceDN w:val="0"/>
              <w:ind w:left="-17"/>
              <w:jc w:val="center"/>
              <w:rPr>
                <w:noProof/>
              </w:rPr>
            </w:pPr>
          </w:p>
          <w:p>
            <w:pPr>
              <w:widowControl w:val="0"/>
              <w:autoSpaceDE w:val="0"/>
              <w:autoSpaceDN w:val="0"/>
              <w:ind w:left="-17"/>
              <w:jc w:val="center"/>
              <w:rPr>
                <w:noProof/>
                <w:sz w:val="2"/>
              </w:rPr>
            </w:pPr>
          </w:p>
          <w:p>
            <w:pPr>
              <w:widowControl w:val="0"/>
              <w:autoSpaceDE w:val="0"/>
              <w:autoSpaceDN w:val="0"/>
              <w:spacing w:before="221" w:line="302" w:lineRule="exact"/>
              <w:ind w:left="-14" w:right="14"/>
              <w:jc w:val="center"/>
              <w:rPr>
                <w:b/>
                <w:color w:val="auto"/>
                <w:szCs w:val="22"/>
              </w:rPr>
            </w:pPr>
            <w:r>
              <w:rPr>
                <w:b/>
                <w:color w:val="auto"/>
                <w:szCs w:val="22"/>
              </w:rPr>
              <w:t xml:space="preserve"> Trần Công Thành</w:t>
            </w:r>
          </w:p>
        </w:tc>
      </w:tr>
    </w:tbl>
    <w:p>
      <w:pPr>
        <w:spacing w:before="60"/>
        <w:ind w:firstLine="720"/>
        <w:jc w:val="both"/>
      </w:pPr>
    </w:p>
    <w:sectPr>
      <w:headerReference w:type="default" r:id="rId8"/>
      <w:pgSz w:w="11907" w:h="16840" w:code="9"/>
      <w:pgMar w:top="1134" w:right="1134" w:bottom="1134" w:left="1701" w:header="567" w:footer="505"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H">
    <w:altName w:val="Courier New"/>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variable"/>
    <w:sig w:usb0="E0002AE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643225"/>
      <w:docPartObj>
        <w:docPartGallery w:val="Page Numbers (Top of Page)"/>
        <w:docPartUnique/>
      </w:docPartObj>
    </w:sdtPr>
    <w:sdtEndPr>
      <w:rPr>
        <w:noProof/>
      </w:rPr>
    </w:sdtEndPr>
    <w:sdtContent>
      <w:p>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C3717"/>
    <w:multiLevelType w:val="multilevel"/>
    <w:tmpl w:val="E1BA365C"/>
    <w:lvl w:ilvl="0">
      <w:start w:val="1"/>
      <w:numFmt w:val="decimal"/>
      <w:lvlText w:val="%1."/>
      <w:lvlJc w:val="left"/>
      <w:pPr>
        <w:ind w:left="1080" w:hanging="360"/>
      </w:pPr>
      <w:rPr>
        <w:rFonts w:ascii="Times New Roman" w:eastAsia="Times New Roman" w:hAnsi="Times New Roman" w:cs="Times New Roman"/>
        <w:b/>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 w15:restartNumberingAfterBreak="0">
    <w:nsid w:val="0C0E1B6A"/>
    <w:multiLevelType w:val="multilevel"/>
    <w:tmpl w:val="24A407BC"/>
    <w:lvl w:ilvl="0">
      <w:start w:val="1"/>
      <w:numFmt w:val="decimal"/>
      <w:lvlText w:val="%1."/>
      <w:lvlJc w:val="left"/>
      <w:pPr>
        <w:ind w:left="108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 w15:restartNumberingAfterBreak="0">
    <w:nsid w:val="1A0D131E"/>
    <w:multiLevelType w:val="hybridMultilevel"/>
    <w:tmpl w:val="5B229CD0"/>
    <w:lvl w:ilvl="0" w:tplc="44DC1DB8">
      <w:start w:val="5"/>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055CB5"/>
    <w:multiLevelType w:val="hybridMultilevel"/>
    <w:tmpl w:val="34FC2342"/>
    <w:lvl w:ilvl="0" w:tplc="C33C72A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874A13"/>
    <w:multiLevelType w:val="hybridMultilevel"/>
    <w:tmpl w:val="A0A0B2A2"/>
    <w:lvl w:ilvl="0" w:tplc="52ECB36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9C162B8"/>
    <w:multiLevelType w:val="hybridMultilevel"/>
    <w:tmpl w:val="841EDD24"/>
    <w:lvl w:ilvl="0" w:tplc="F27287E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E2A1BD4"/>
    <w:multiLevelType w:val="hybridMultilevel"/>
    <w:tmpl w:val="B60EB260"/>
    <w:lvl w:ilvl="0" w:tplc="A90266A4">
      <w:numFmt w:val="bullet"/>
      <w:lvlText w:val="-"/>
      <w:lvlJc w:val="left"/>
      <w:pPr>
        <w:ind w:left="327" w:hanging="128"/>
      </w:pPr>
      <w:rPr>
        <w:rFonts w:ascii="Times New Roman" w:eastAsia="Times New Roman" w:hAnsi="Times New Roman" w:cs="Times New Roman" w:hint="default"/>
        <w:w w:val="100"/>
        <w:sz w:val="22"/>
        <w:szCs w:val="22"/>
        <w:lang w:eastAsia="en-US" w:bidi="ar-SA"/>
      </w:rPr>
    </w:lvl>
    <w:lvl w:ilvl="1" w:tplc="087E326A">
      <w:numFmt w:val="bullet"/>
      <w:lvlText w:val="•"/>
      <w:lvlJc w:val="left"/>
      <w:pPr>
        <w:ind w:left="719" w:hanging="128"/>
      </w:pPr>
      <w:rPr>
        <w:rFonts w:hint="default"/>
        <w:lang w:eastAsia="en-US" w:bidi="ar-SA"/>
      </w:rPr>
    </w:lvl>
    <w:lvl w:ilvl="2" w:tplc="6F4424CA">
      <w:numFmt w:val="bullet"/>
      <w:lvlText w:val="•"/>
      <w:lvlJc w:val="left"/>
      <w:pPr>
        <w:ind w:left="1118" w:hanging="128"/>
      </w:pPr>
      <w:rPr>
        <w:rFonts w:hint="default"/>
        <w:lang w:eastAsia="en-US" w:bidi="ar-SA"/>
      </w:rPr>
    </w:lvl>
    <w:lvl w:ilvl="3" w:tplc="A5E01E74">
      <w:numFmt w:val="bullet"/>
      <w:lvlText w:val="•"/>
      <w:lvlJc w:val="left"/>
      <w:pPr>
        <w:ind w:left="1518" w:hanging="128"/>
      </w:pPr>
      <w:rPr>
        <w:rFonts w:hint="default"/>
        <w:lang w:eastAsia="en-US" w:bidi="ar-SA"/>
      </w:rPr>
    </w:lvl>
    <w:lvl w:ilvl="4" w:tplc="90BE747A">
      <w:numFmt w:val="bullet"/>
      <w:lvlText w:val="•"/>
      <w:lvlJc w:val="left"/>
      <w:pPr>
        <w:ind w:left="1917" w:hanging="128"/>
      </w:pPr>
      <w:rPr>
        <w:rFonts w:hint="default"/>
        <w:lang w:eastAsia="en-US" w:bidi="ar-SA"/>
      </w:rPr>
    </w:lvl>
    <w:lvl w:ilvl="5" w:tplc="FDC8A822">
      <w:numFmt w:val="bullet"/>
      <w:lvlText w:val="•"/>
      <w:lvlJc w:val="left"/>
      <w:pPr>
        <w:ind w:left="2317" w:hanging="128"/>
      </w:pPr>
      <w:rPr>
        <w:rFonts w:hint="default"/>
        <w:lang w:eastAsia="en-US" w:bidi="ar-SA"/>
      </w:rPr>
    </w:lvl>
    <w:lvl w:ilvl="6" w:tplc="8C368A68">
      <w:numFmt w:val="bullet"/>
      <w:lvlText w:val="•"/>
      <w:lvlJc w:val="left"/>
      <w:pPr>
        <w:ind w:left="2716" w:hanging="128"/>
      </w:pPr>
      <w:rPr>
        <w:rFonts w:hint="default"/>
        <w:lang w:eastAsia="en-US" w:bidi="ar-SA"/>
      </w:rPr>
    </w:lvl>
    <w:lvl w:ilvl="7" w:tplc="1CFC7324">
      <w:numFmt w:val="bullet"/>
      <w:lvlText w:val="•"/>
      <w:lvlJc w:val="left"/>
      <w:pPr>
        <w:ind w:left="3115" w:hanging="128"/>
      </w:pPr>
      <w:rPr>
        <w:rFonts w:hint="default"/>
        <w:lang w:eastAsia="en-US" w:bidi="ar-SA"/>
      </w:rPr>
    </w:lvl>
    <w:lvl w:ilvl="8" w:tplc="C944CD54">
      <w:numFmt w:val="bullet"/>
      <w:lvlText w:val="•"/>
      <w:lvlJc w:val="left"/>
      <w:pPr>
        <w:ind w:left="3515" w:hanging="128"/>
      </w:pPr>
      <w:rPr>
        <w:rFonts w:hint="default"/>
        <w:lang w:eastAsia="en-US" w:bidi="ar-SA"/>
      </w:rPr>
    </w:lvl>
  </w:abstractNum>
  <w:abstractNum w:abstractNumId="7" w15:restartNumberingAfterBreak="0">
    <w:nsid w:val="3FA60DF8"/>
    <w:multiLevelType w:val="multilevel"/>
    <w:tmpl w:val="FAC04608"/>
    <w:lvl w:ilvl="0">
      <w:start w:val="1"/>
      <w:numFmt w:val="decimal"/>
      <w:lvlText w:val="%1."/>
      <w:lvlJc w:val="left"/>
      <w:pPr>
        <w:ind w:left="1080" w:hanging="360"/>
      </w:pPr>
      <w:rPr>
        <w:rFonts w:ascii="Times New Roman" w:eastAsia="Times New Roman" w:hAnsi="Times New Roman" w:cs="Times New Roman"/>
        <w:b/>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 w15:restartNumberingAfterBreak="0">
    <w:nsid w:val="470145BC"/>
    <w:multiLevelType w:val="multilevel"/>
    <w:tmpl w:val="4C7829FA"/>
    <w:lvl w:ilvl="0">
      <w:start w:val="1"/>
      <w:numFmt w:val="decimal"/>
      <w:lvlText w:val="%1."/>
      <w:lvlJc w:val="left"/>
      <w:pPr>
        <w:ind w:left="1080" w:hanging="360"/>
      </w:pPr>
      <w:rPr>
        <w:rFonts w:ascii="Times New Roman" w:eastAsia="Times New Roman" w:hAnsi="Times New Roman" w:cs="Times New Roman"/>
        <w:b/>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 w15:restartNumberingAfterBreak="0">
    <w:nsid w:val="5D6A05C0"/>
    <w:multiLevelType w:val="hybridMultilevel"/>
    <w:tmpl w:val="0326364C"/>
    <w:lvl w:ilvl="0" w:tplc="8DA20D70">
      <w:numFmt w:val="bullet"/>
      <w:lvlText w:val="-"/>
      <w:lvlJc w:val="left"/>
      <w:pPr>
        <w:tabs>
          <w:tab w:val="num" w:pos="1635"/>
        </w:tabs>
        <w:ind w:left="1635" w:hanging="91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69A642DA"/>
    <w:multiLevelType w:val="hybridMultilevel"/>
    <w:tmpl w:val="F73406D4"/>
    <w:lvl w:ilvl="0" w:tplc="5CC8C4EA">
      <w:start w:val="1"/>
      <w:numFmt w:val="decimal"/>
      <w:lvlText w:val="%1."/>
      <w:lvlJc w:val="left"/>
      <w:pPr>
        <w:ind w:left="1165" w:hanging="360"/>
      </w:pPr>
      <w:rPr>
        <w:rFonts w:hint="default"/>
        <w:b/>
      </w:rPr>
    </w:lvl>
    <w:lvl w:ilvl="1" w:tplc="04090019" w:tentative="1">
      <w:start w:val="1"/>
      <w:numFmt w:val="lowerLetter"/>
      <w:lvlText w:val="%2."/>
      <w:lvlJc w:val="left"/>
      <w:pPr>
        <w:ind w:left="1885" w:hanging="360"/>
      </w:pPr>
    </w:lvl>
    <w:lvl w:ilvl="2" w:tplc="0409001B" w:tentative="1">
      <w:start w:val="1"/>
      <w:numFmt w:val="lowerRoman"/>
      <w:lvlText w:val="%3."/>
      <w:lvlJc w:val="right"/>
      <w:pPr>
        <w:ind w:left="2605" w:hanging="180"/>
      </w:pPr>
    </w:lvl>
    <w:lvl w:ilvl="3" w:tplc="0409000F" w:tentative="1">
      <w:start w:val="1"/>
      <w:numFmt w:val="decimal"/>
      <w:lvlText w:val="%4."/>
      <w:lvlJc w:val="left"/>
      <w:pPr>
        <w:ind w:left="3325" w:hanging="360"/>
      </w:pPr>
    </w:lvl>
    <w:lvl w:ilvl="4" w:tplc="04090019" w:tentative="1">
      <w:start w:val="1"/>
      <w:numFmt w:val="lowerLetter"/>
      <w:lvlText w:val="%5."/>
      <w:lvlJc w:val="left"/>
      <w:pPr>
        <w:ind w:left="4045" w:hanging="360"/>
      </w:pPr>
    </w:lvl>
    <w:lvl w:ilvl="5" w:tplc="0409001B" w:tentative="1">
      <w:start w:val="1"/>
      <w:numFmt w:val="lowerRoman"/>
      <w:lvlText w:val="%6."/>
      <w:lvlJc w:val="right"/>
      <w:pPr>
        <w:ind w:left="4765" w:hanging="180"/>
      </w:pPr>
    </w:lvl>
    <w:lvl w:ilvl="6" w:tplc="0409000F" w:tentative="1">
      <w:start w:val="1"/>
      <w:numFmt w:val="decimal"/>
      <w:lvlText w:val="%7."/>
      <w:lvlJc w:val="left"/>
      <w:pPr>
        <w:ind w:left="5485" w:hanging="360"/>
      </w:pPr>
    </w:lvl>
    <w:lvl w:ilvl="7" w:tplc="04090019" w:tentative="1">
      <w:start w:val="1"/>
      <w:numFmt w:val="lowerLetter"/>
      <w:lvlText w:val="%8."/>
      <w:lvlJc w:val="left"/>
      <w:pPr>
        <w:ind w:left="6205" w:hanging="360"/>
      </w:pPr>
    </w:lvl>
    <w:lvl w:ilvl="8" w:tplc="0409001B" w:tentative="1">
      <w:start w:val="1"/>
      <w:numFmt w:val="lowerRoman"/>
      <w:lvlText w:val="%9."/>
      <w:lvlJc w:val="right"/>
      <w:pPr>
        <w:ind w:left="6925" w:hanging="180"/>
      </w:pPr>
    </w:lvl>
  </w:abstractNum>
  <w:abstractNum w:abstractNumId="11" w15:restartNumberingAfterBreak="0">
    <w:nsid w:val="6E0E6E95"/>
    <w:multiLevelType w:val="hybridMultilevel"/>
    <w:tmpl w:val="E9F608A8"/>
    <w:lvl w:ilvl="0" w:tplc="1A848AC4">
      <w:start w:val="20"/>
      <w:numFmt w:val="bullet"/>
      <w:lvlText w:val="-"/>
      <w:lvlJc w:val="left"/>
      <w:pPr>
        <w:tabs>
          <w:tab w:val="num" w:pos="1635"/>
        </w:tabs>
        <w:ind w:left="1635" w:hanging="91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9"/>
  </w:num>
  <w:num w:numId="3">
    <w:abstractNumId w:val="4"/>
  </w:num>
  <w:num w:numId="4">
    <w:abstractNumId w:val="2"/>
  </w:num>
  <w:num w:numId="5">
    <w:abstractNumId w:val="6"/>
  </w:num>
  <w:num w:numId="6">
    <w:abstractNumId w:val="10"/>
  </w:num>
  <w:num w:numId="7">
    <w:abstractNumId w:val="5"/>
  </w:num>
  <w:num w:numId="8">
    <w:abstractNumId w:val="3"/>
  </w:num>
  <w:num w:numId="9">
    <w:abstractNumId w:val="1"/>
  </w:num>
  <w:num w:numId="10">
    <w:abstractNumId w:val="7"/>
  </w:num>
  <w:num w:numId="11">
    <w:abstractNumId w:val="8"/>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209AF53-F94F-46A9-9B1F-0C2FA05CF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sz w:val="28"/>
      <w:szCs w:val="28"/>
    </w:rPr>
  </w:style>
  <w:style w:type="paragraph" w:styleId="Heading1">
    <w:name w:val="heading 1"/>
    <w:basedOn w:val="Normal"/>
    <w:next w:val="Normal"/>
    <w:qFormat/>
    <w:pPr>
      <w:keepNext/>
      <w:jc w:val="center"/>
      <w:outlineLvl w:val="0"/>
    </w:pPr>
    <w:rPr>
      <w:rFonts w:ascii=".VnTimeH" w:hAnsi=".VnTimeH"/>
      <w:b/>
      <w:color w:val="auto"/>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Pr>
      <w:rFonts w:ascii="Tahoma" w:hAnsi="Tahoma"/>
      <w:sz w:val="16"/>
      <w:szCs w:val="16"/>
    </w:rPr>
  </w:style>
  <w:style w:type="character" w:customStyle="1" w:styleId="BalloonTextChar">
    <w:name w:val="Balloon Text Char"/>
    <w:link w:val="BalloonText"/>
    <w:rPr>
      <w:rFonts w:ascii="Tahoma" w:hAnsi="Tahoma" w:cs="Tahoma"/>
      <w:color w:val="000000"/>
      <w:sz w:val="16"/>
      <w:szCs w:val="16"/>
    </w:rPr>
  </w:style>
  <w:style w:type="character" w:styleId="Hyperlink">
    <w:name w:val="Hyperlink"/>
    <w:rPr>
      <w:color w:val="0000FF"/>
      <w:u w:val="single"/>
    </w:rPr>
  </w:style>
  <w:style w:type="paragraph" w:styleId="Header">
    <w:name w:val="header"/>
    <w:basedOn w:val="Normal"/>
    <w:link w:val="HeaderChar"/>
    <w:uiPriority w:val="99"/>
    <w:pPr>
      <w:tabs>
        <w:tab w:val="center" w:pos="4680"/>
        <w:tab w:val="right" w:pos="9360"/>
      </w:tabs>
    </w:pPr>
  </w:style>
  <w:style w:type="character" w:customStyle="1" w:styleId="HeaderChar">
    <w:name w:val="Header Char"/>
    <w:link w:val="Header"/>
    <w:uiPriority w:val="99"/>
    <w:rPr>
      <w:color w:val="000000"/>
      <w:sz w:val="28"/>
      <w:szCs w:val="28"/>
    </w:rPr>
  </w:style>
  <w:style w:type="paragraph" w:styleId="Footer">
    <w:name w:val="footer"/>
    <w:basedOn w:val="Normal"/>
    <w:link w:val="FooterChar"/>
    <w:uiPriority w:val="99"/>
    <w:pPr>
      <w:tabs>
        <w:tab w:val="center" w:pos="4680"/>
        <w:tab w:val="right" w:pos="9360"/>
      </w:tabs>
    </w:pPr>
  </w:style>
  <w:style w:type="character" w:customStyle="1" w:styleId="FooterChar">
    <w:name w:val="Footer Char"/>
    <w:link w:val="Footer"/>
    <w:uiPriority w:val="99"/>
    <w:rPr>
      <w:color w:val="000000"/>
      <w:sz w:val="28"/>
      <w:szCs w:val="28"/>
    </w:rPr>
  </w:style>
  <w:style w:type="paragraph" w:styleId="ListParagraph">
    <w:name w:val="List Paragraph"/>
    <w:basedOn w:val="Normal"/>
    <w:uiPriority w:val="34"/>
    <w:qFormat/>
    <w:pPr>
      <w:ind w:left="720"/>
      <w:contextualSpacing/>
    </w:pPr>
  </w:style>
  <w:style w:type="paragraph" w:customStyle="1" w:styleId="TableParagraph">
    <w:name w:val="Table Paragraph"/>
    <w:basedOn w:val="Normal"/>
    <w:uiPriority w:val="1"/>
    <w:qFormat/>
    <w:pPr>
      <w:widowControl w:val="0"/>
      <w:autoSpaceDE w:val="0"/>
      <w:autoSpaceDN w:val="0"/>
    </w:pPr>
    <w:rPr>
      <w:color w:val="auto"/>
      <w:sz w:val="22"/>
      <w:szCs w:val="22"/>
    </w:rPr>
  </w:style>
  <w:style w:type="paragraph" w:styleId="Revision">
    <w:name w:val="Revision"/>
    <w:hidden/>
    <w:uiPriority w:val="99"/>
    <w:semiHidden/>
    <w:rPr>
      <w:color w:val="000000"/>
      <w:sz w:val="28"/>
      <w:szCs w:val="28"/>
    </w:rPr>
  </w:style>
  <w:style w:type="paragraph" w:styleId="FootnoteText">
    <w:name w:val="footnote text"/>
    <w:basedOn w:val="Normal"/>
    <w:link w:val="FootnoteTextChar"/>
    <w:semiHidden/>
    <w:unhideWhenUsed/>
    <w:rPr>
      <w:sz w:val="20"/>
      <w:szCs w:val="20"/>
    </w:rPr>
  </w:style>
  <w:style w:type="character" w:customStyle="1" w:styleId="FootnoteTextChar">
    <w:name w:val="Footnote Text Char"/>
    <w:basedOn w:val="DefaultParagraphFont"/>
    <w:link w:val="FootnoteText"/>
    <w:semiHidden/>
    <w:rPr>
      <w:color w:val="000000"/>
    </w:rPr>
  </w:style>
  <w:style w:type="character" w:styleId="FootnoteReference">
    <w:name w:val="footnote reference"/>
    <w:basedOn w:val="DefaultParagraphFont"/>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05712">
      <w:bodyDiv w:val="1"/>
      <w:marLeft w:val="0"/>
      <w:marRight w:val="0"/>
      <w:marTop w:val="0"/>
      <w:marBottom w:val="0"/>
      <w:divBdr>
        <w:top w:val="none" w:sz="0" w:space="0" w:color="auto"/>
        <w:left w:val="none" w:sz="0" w:space="0" w:color="auto"/>
        <w:bottom w:val="none" w:sz="0" w:space="0" w:color="auto"/>
        <w:right w:val="none" w:sz="0" w:space="0" w:color="auto"/>
      </w:divBdr>
    </w:div>
    <w:div w:id="811485177">
      <w:bodyDiv w:val="1"/>
      <w:marLeft w:val="0"/>
      <w:marRight w:val="0"/>
      <w:marTop w:val="0"/>
      <w:marBottom w:val="0"/>
      <w:divBdr>
        <w:top w:val="none" w:sz="0" w:space="0" w:color="auto"/>
        <w:left w:val="none" w:sz="0" w:space="0" w:color="auto"/>
        <w:bottom w:val="none" w:sz="0" w:space="0" w:color="auto"/>
        <w:right w:val="none" w:sz="0" w:space="0" w:color="auto"/>
      </w:divBdr>
    </w:div>
    <w:div w:id="1284579582">
      <w:bodyDiv w:val="1"/>
      <w:marLeft w:val="0"/>
      <w:marRight w:val="0"/>
      <w:marTop w:val="0"/>
      <w:marBottom w:val="0"/>
      <w:divBdr>
        <w:top w:val="none" w:sz="0" w:space="0" w:color="auto"/>
        <w:left w:val="none" w:sz="0" w:space="0" w:color="auto"/>
        <w:bottom w:val="none" w:sz="0" w:space="0" w:color="auto"/>
        <w:right w:val="none" w:sz="0" w:space="0" w:color="auto"/>
      </w:divBdr>
    </w:div>
    <w:div w:id="1304047671">
      <w:bodyDiv w:val="1"/>
      <w:marLeft w:val="0"/>
      <w:marRight w:val="0"/>
      <w:marTop w:val="0"/>
      <w:marBottom w:val="0"/>
      <w:divBdr>
        <w:top w:val="none" w:sz="0" w:space="0" w:color="auto"/>
        <w:left w:val="none" w:sz="0" w:space="0" w:color="auto"/>
        <w:bottom w:val="none" w:sz="0" w:space="0" w:color="auto"/>
        <w:right w:val="none" w:sz="0" w:space="0" w:color="auto"/>
      </w:divBdr>
    </w:div>
    <w:div w:id="152155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8262A-E721-4CF1-A650-35ABF7CAF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Pages>
  <Words>526</Words>
  <Characters>3002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Phòng Tổng hợp - UBND tỉnh Hà Tĩnh</vt:lpstr>
    </vt:vector>
  </TitlesOfParts>
  <Company>Microsoft</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Phòng Tổng hợp - UBND tỉnh Hà Tĩnh</dc:title>
  <dc:creator>TTG</dc:creator>
  <cp:lastModifiedBy>DELL</cp:lastModifiedBy>
  <cp:revision>13</cp:revision>
  <cp:lastPrinted>2025-01-09T14:36:00Z</cp:lastPrinted>
  <dcterms:created xsi:type="dcterms:W3CDTF">2026-02-02T04:03:00Z</dcterms:created>
  <dcterms:modified xsi:type="dcterms:W3CDTF">2026-02-03T02:29:00Z</dcterms:modified>
</cp:coreProperties>
</file>